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BB7" w:rsidRDefault="00043D56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Приложение 1 к письму</w:t>
      </w:r>
    </w:p>
    <w:p w:rsidR="00A80BB7" w:rsidRDefault="00043D56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от ___________ № _________</w:t>
      </w:r>
    </w:p>
    <w:p w:rsidR="00A80BB7" w:rsidRDefault="00043D56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A80BB7" w:rsidRDefault="00A80BB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80BB7" w:rsidRDefault="00043D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Информация </w:t>
      </w:r>
    </w:p>
    <w:p w:rsidR="00A80BB7" w:rsidRDefault="00043D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проведению круглого стола </w:t>
      </w:r>
      <w:r>
        <w:rPr>
          <w:rFonts w:ascii="Times New Roman" w:hAnsi="Times New Roman"/>
          <w:sz w:val="28"/>
          <w:szCs w:val="28"/>
        </w:rPr>
        <w:t xml:space="preserve">Комитетом Думы </w:t>
      </w:r>
    </w:p>
    <w:p w:rsidR="00A80BB7" w:rsidRDefault="00043D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/>
          <w:color w:val="000000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Югры</w:t>
      </w:r>
      <w:r>
        <w:rPr>
          <w:rFonts w:ascii="Times New Roman" w:hAnsi="Times New Roman"/>
          <w:sz w:val="28"/>
          <w:szCs w:val="28"/>
        </w:rPr>
        <w:t xml:space="preserve"> по охране окружающей среды, экономической политике, промышленному, инновационному развитию и предпринимательству </w:t>
      </w:r>
      <w:r>
        <w:rPr>
          <w:rFonts w:ascii="Times New Roman" w:eastAsia="Times New Roman" w:hAnsi="Times New Roman"/>
          <w:sz w:val="28"/>
          <w:szCs w:val="28"/>
        </w:rPr>
        <w:t>«Основные направления развития нефтегазовой отрасли Ханты-Мансийского автономного округа – Югры. Проблемы и пути их решения»</w:t>
      </w:r>
    </w:p>
    <w:p w:rsidR="00A80BB7" w:rsidRDefault="00A80BB7">
      <w:pPr>
        <w:pStyle w:val="1"/>
        <w:spacing w:before="0" w:after="0" w:line="240" w:lineRule="auto"/>
        <w:rPr>
          <w:sz w:val="16"/>
          <w:szCs w:val="16"/>
        </w:rPr>
      </w:pPr>
    </w:p>
    <w:p w:rsidR="00A80BB7" w:rsidRDefault="00A80BB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0BB7" w:rsidRDefault="00043D56">
      <w:pPr>
        <w:pStyle w:val="1"/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Добыча нефти</w:t>
      </w:r>
    </w:p>
    <w:p w:rsidR="00A80BB7" w:rsidRDefault="00A80BB7">
      <w:pPr>
        <w:spacing w:after="0"/>
        <w:rPr>
          <w:rFonts w:ascii="Times New Roman" w:hAnsi="Times New Roman"/>
          <w:sz w:val="28"/>
          <w:szCs w:val="28"/>
        </w:rPr>
      </w:pPr>
    </w:p>
    <w:p w:rsidR="00A80BB7" w:rsidRDefault="00043D56">
      <w:pPr>
        <w:pStyle w:val="210"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  <w:szCs w:val="28"/>
        </w:rPr>
        <w:t xml:space="preserve">С начала разработки нефтяных месторождений на территории Ханты-Мансийского автономного округа – Югры (1964 год; </w:t>
      </w:r>
      <w:r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далее – автономный округ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  <w:szCs w:val="28"/>
        </w:rPr>
        <w:t>) накопленная добыча нефти составила на 1 января 2026 г</w:t>
      </w:r>
      <w:r>
        <w:rPr>
          <w:rFonts w:ascii="Times New Roman" w:hAnsi="Times New Roman" w:cs="Times New Roman"/>
          <w:b w:val="0"/>
          <w:i w:val="0"/>
          <w:iCs w:val="0"/>
          <w:color w:val="000000"/>
          <w:szCs w:val="28"/>
        </w:rPr>
        <w:t xml:space="preserve">ода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  <w:szCs w:val="28"/>
        </w:rPr>
        <w:t>13,2 млрд тонн.</w:t>
      </w:r>
    </w:p>
    <w:p w:rsidR="00A80BB7" w:rsidRDefault="00043D56">
      <w:pPr>
        <w:pStyle w:val="210"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В 2025 году на территории автономного округа добыто </w:t>
      </w:r>
      <w:r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br/>
        <w:t xml:space="preserve">202,9 млн тонн нефти, что на 0,9% меньше добычи 2024 года, или </w:t>
      </w:r>
      <w:r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br/>
        <w:t>в абсолютных единицах – на 1,7 млн тонн.</w:t>
      </w:r>
    </w:p>
    <w:p w:rsidR="00A80BB7" w:rsidRDefault="00043D56">
      <w:pPr>
        <w:pStyle w:val="210"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На долю автономного округа приходится около 40% общероссийской добычи.</w:t>
      </w:r>
    </w:p>
    <w:p w:rsidR="00A80BB7" w:rsidRDefault="00043D56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Наибольший объём добычи приходится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Сургутский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Нефтеюганский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муниципальные районы. Лидерство принадлежит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Сургутскому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муниципальному району (32,2% от добычи автономного округа).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Нефтеюганский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муниципальный район занимает 2-е место (21,6% от добычи автономного округа).   </w:t>
      </w:r>
    </w:p>
    <w:p w:rsidR="00A80BB7" w:rsidRDefault="00043D5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2025 году на территории автономного округа </w:t>
      </w:r>
      <w:r>
        <w:rPr>
          <w:rFonts w:ascii="Times New Roman" w:eastAsia="Times New Roman" w:hAnsi="Times New Roman"/>
          <w:sz w:val="28"/>
          <w:szCs w:val="28"/>
        </w:rPr>
        <w:br/>
        <w:t>в пробную эксплуатацию введено 3 месторождения.</w:t>
      </w:r>
    </w:p>
    <w:p w:rsidR="00A80BB7" w:rsidRDefault="00043D56">
      <w:pPr>
        <w:spacing w:after="0"/>
        <w:ind w:right="-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Среднесуточная добыча нефти в 2025 году по автономному округу составила 555,8 тысяч т/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A80BB7" w:rsidRDefault="00043D56">
      <w:pPr>
        <w:spacing w:after="0"/>
        <w:ind w:right="-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Объём эксплуатационного бурения в 2025 году составил 17,85 млн метров.</w:t>
      </w:r>
    </w:p>
    <w:p w:rsidR="00A80BB7" w:rsidRDefault="00043D5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отчётном периоде введено в эксплуатацию около 4100 новых добывающих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 xml:space="preserve">кважин. </w:t>
      </w:r>
    </w:p>
    <w:p w:rsidR="00A80BB7" w:rsidRDefault="00A80BB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80BB7" w:rsidRDefault="00A80BB7">
      <w:pPr>
        <w:pStyle w:val="211"/>
        <w:spacing w:line="276" w:lineRule="auto"/>
        <w:ind w:firstLine="0"/>
        <w:jc w:val="center"/>
        <w:rPr>
          <w:b/>
          <w:bCs/>
          <w:sz w:val="28"/>
          <w:szCs w:val="28"/>
        </w:rPr>
      </w:pPr>
    </w:p>
    <w:p w:rsidR="00A80BB7" w:rsidRDefault="00A80BB7">
      <w:pPr>
        <w:pStyle w:val="211"/>
        <w:spacing w:line="276" w:lineRule="auto"/>
        <w:ind w:firstLine="0"/>
        <w:jc w:val="center"/>
        <w:rPr>
          <w:sz w:val="28"/>
          <w:szCs w:val="28"/>
        </w:rPr>
      </w:pPr>
    </w:p>
    <w:p w:rsidR="00A80BB7" w:rsidRDefault="00A80BB7">
      <w:pPr>
        <w:pStyle w:val="211"/>
        <w:spacing w:line="276" w:lineRule="auto"/>
        <w:ind w:firstLine="0"/>
        <w:jc w:val="center"/>
        <w:rPr>
          <w:sz w:val="28"/>
          <w:szCs w:val="28"/>
        </w:rPr>
      </w:pPr>
    </w:p>
    <w:p w:rsidR="00A80BB7" w:rsidRDefault="00043D56">
      <w:pPr>
        <w:pStyle w:val="211"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Добыча и использование газа</w:t>
      </w:r>
    </w:p>
    <w:p w:rsidR="00A80BB7" w:rsidRDefault="00A80BB7">
      <w:pPr>
        <w:pStyle w:val="211"/>
        <w:spacing w:line="276" w:lineRule="auto"/>
        <w:ind w:firstLine="0"/>
        <w:jc w:val="center"/>
        <w:rPr>
          <w:b/>
          <w:bCs/>
          <w:sz w:val="28"/>
          <w:szCs w:val="28"/>
        </w:rPr>
      </w:pPr>
    </w:p>
    <w:p w:rsidR="00A80BB7" w:rsidRDefault="00043D5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территории автономного округа ведётся добыча в основном попутного </w:t>
      </w:r>
      <w:r>
        <w:rPr>
          <w:rFonts w:ascii="Times New Roman" w:eastAsia="Times New Roman" w:hAnsi="Times New Roman"/>
          <w:spacing w:val="-4"/>
          <w:sz w:val="28"/>
          <w:szCs w:val="28"/>
        </w:rPr>
        <w:t>нефтяного газа, доля природного газа в общем объёме добычи газа составляет 2,17%.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80BB7" w:rsidRDefault="00043D56">
      <w:pPr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 2025 год добыча газа по округу (извлечено попутного нефтяного </w:t>
      </w:r>
      <w:r>
        <w:rPr>
          <w:rFonts w:ascii="Times New Roman" w:eastAsia="Times New Roman" w:hAnsi="Times New Roman"/>
          <w:sz w:val="28"/>
          <w:szCs w:val="28"/>
        </w:rPr>
        <w:br/>
        <w:t>и природного газа) составила 29 млрд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. Из них попутного нефтяного газа добыто 28,4 млрд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, природного газа – 0,6 млрд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80BB7" w:rsidRDefault="00043D56">
      <w:pPr>
        <w:spacing w:after="0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Объём использования попутного нефтяного и природного газа (добытого без учёта газа, сожжённого на факелах) в автономном округе составил 27,2 млрд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80BB7" w:rsidRDefault="00043D56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Объём использования попутного нефтяного газа – 27,1 млрд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, уровень использования – 95,5%.</w:t>
      </w:r>
    </w:p>
    <w:p w:rsidR="00A80BB7" w:rsidRDefault="00A80BB7">
      <w:pPr>
        <w:pStyle w:val="211"/>
        <w:spacing w:line="276" w:lineRule="auto"/>
        <w:ind w:firstLine="0"/>
        <w:rPr>
          <w:b/>
          <w:bCs/>
          <w:sz w:val="28"/>
          <w:szCs w:val="28"/>
        </w:rPr>
      </w:pPr>
    </w:p>
    <w:p w:rsidR="00A80BB7" w:rsidRDefault="00043D56">
      <w:pPr>
        <w:pStyle w:val="211"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Нефтегазоперерабатывающая отрасль</w:t>
      </w:r>
    </w:p>
    <w:p w:rsidR="00A80BB7" w:rsidRDefault="00043D56">
      <w:pPr>
        <w:pStyle w:val="211"/>
        <w:spacing w:line="276" w:lineRule="auto"/>
        <w:ind w:firstLine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A80BB7" w:rsidRDefault="00043D56">
      <w:pPr>
        <w:pStyle w:val="211"/>
        <w:spacing w:line="276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За 2025 год нефтегазоперерабатывающими предприятиями автономного округа переработано:</w:t>
      </w:r>
    </w:p>
    <w:p w:rsidR="00A80BB7" w:rsidRDefault="00043D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- 3834,8 тыс. тонн нефти; </w:t>
      </w:r>
    </w:p>
    <w:p w:rsidR="00A80BB7" w:rsidRDefault="00043D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- 18 283,05 млн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газа;</w:t>
      </w:r>
    </w:p>
    <w:p w:rsidR="00A80BB7" w:rsidRDefault="00043D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- 11 824,9 тыс. тонн газового конденсата.</w:t>
      </w:r>
    </w:p>
    <w:p w:rsidR="00A80BB7" w:rsidRDefault="00A80BB7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80BB7" w:rsidRDefault="00043D5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Производственная инфраструктура и транспорт нефти и газа</w:t>
      </w:r>
    </w:p>
    <w:p w:rsidR="00A80BB7" w:rsidRDefault="00A80BB7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A80BB7" w:rsidRDefault="00043D5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бщая протяжённость сети трубопроводов на территории автономного округа, по данным эксплуатирующих предприятий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на 1 января 2025 года, составляет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121,4 </w:t>
      </w:r>
      <w:r>
        <w:rPr>
          <w:rFonts w:ascii="Times New Roman" w:eastAsia="Times New Roman" w:hAnsi="Times New Roman"/>
          <w:sz w:val="28"/>
          <w:szCs w:val="28"/>
        </w:rPr>
        <w:t xml:space="preserve">тыс. км, в том числе магистральные трубопроводы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16,4 тыс.</w:t>
      </w:r>
      <w:r>
        <w:rPr>
          <w:rFonts w:ascii="Times New Roman" w:eastAsia="Times New Roman" w:hAnsi="Times New Roman"/>
          <w:sz w:val="28"/>
          <w:szCs w:val="28"/>
        </w:rPr>
        <w:t xml:space="preserve"> км.</w:t>
      </w:r>
    </w:p>
    <w:p w:rsidR="00A80BB7" w:rsidRDefault="00A80BB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80BB7" w:rsidRDefault="00043D56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Лицензирование</w:t>
      </w:r>
    </w:p>
    <w:p w:rsidR="00A80BB7" w:rsidRDefault="00A80B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BB7" w:rsidRDefault="00043D56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 1 января 2026 года массив нефтяных и газовых лицензий составляет 592 лицензии (НП, НР, НЭ, НГ, НТ) в том числе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456 долгосрочных с целевым назначением «разведка и добыча углеводородов».</w:t>
      </w:r>
    </w:p>
    <w:p w:rsidR="00A80BB7" w:rsidRDefault="00043D5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2026 году на территории </w:t>
      </w:r>
      <w:r w:rsidR="00041DA1">
        <w:rPr>
          <w:rFonts w:ascii="Times New Roman" w:eastAsia="Times New Roman" w:hAnsi="Times New Roman"/>
          <w:color w:val="000000"/>
          <w:sz w:val="28"/>
          <w:szCs w:val="28"/>
        </w:rPr>
        <w:t xml:space="preserve">автономного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округа ведут производственную деятельность 84 компании, владеющ</w:t>
      </w:r>
      <w:r w:rsidR="00041DA1">
        <w:rPr>
          <w:rFonts w:ascii="Times New Roman" w:eastAsia="Times New Roman" w:hAnsi="Times New Roman"/>
          <w:color w:val="000000"/>
          <w:sz w:val="28"/>
          <w:szCs w:val="28"/>
        </w:rPr>
        <w:t xml:space="preserve">ие долгосрочными лицензиями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 право пользования недрами с целью разведки и добычи углеводородного сыр</w:t>
      </w:r>
      <w:r w:rsidR="00E432B5">
        <w:rPr>
          <w:rFonts w:ascii="Times New Roman" w:eastAsia="Times New Roman" w:hAnsi="Times New Roman"/>
          <w:color w:val="000000"/>
          <w:sz w:val="28"/>
          <w:szCs w:val="28"/>
        </w:rPr>
        <w:t xml:space="preserve">ья. Из них в состав вертикально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интегрированных нефтяных компаний входят 35 предприятий, 49 – независимые компании.</w:t>
      </w:r>
    </w:p>
    <w:p w:rsidR="00A80BB7" w:rsidRDefault="00043D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Правительством автономного округа подготовлены и направлены </w:t>
      </w:r>
      <w:r>
        <w:rPr>
          <w:rFonts w:ascii="Times New Roman" w:eastAsia="Times New Roman" w:hAnsi="Times New Roman"/>
          <w:sz w:val="28"/>
          <w:szCs w:val="28"/>
        </w:rPr>
        <w:br/>
        <w:t>в Департамент по недропользованию по Уральскому федеральному округу предложения о включении участков недр в перечни участков, предлагаемых в пользование для геологического изучения недр, а также для геологического изучения недр, разведки и добычи полезных ископаемых, осуществляемых по совмещённой лицензии, и об условиях лицензий на пользование такими участками.</w:t>
      </w:r>
    </w:p>
    <w:p w:rsidR="00A80BB7" w:rsidRDefault="00043D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2025 году предложено 9 участков для предоставления </w:t>
      </w:r>
      <w:r>
        <w:rPr>
          <w:rFonts w:ascii="Times New Roman" w:eastAsia="Times New Roman" w:hAnsi="Times New Roman"/>
          <w:sz w:val="28"/>
          <w:szCs w:val="28"/>
        </w:rPr>
        <w:br/>
        <w:t>в пользование, на 2026 год предложено 14 участков.</w:t>
      </w:r>
    </w:p>
    <w:p w:rsidR="00A80BB7" w:rsidRDefault="00043D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Суммарные запасы нефти по предлагаемым участкам по категориям А+В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+С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+С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составляют 3,6 млн тонн, ресурсы нефти по категории D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</w:rPr>
        <w:t>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– 33,02 млн тонн, по категориям D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+D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– 38,8 млн тонн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80BB7" w:rsidRDefault="00A80BB7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A80BB7" w:rsidRDefault="00043D5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Аукционы на право пользования участками недр </w:t>
      </w:r>
    </w:p>
    <w:p w:rsidR="00A80BB7" w:rsidRDefault="00043D5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углеводородное сырьё</w:t>
      </w:r>
    </w:p>
    <w:p w:rsidR="00A80BB7" w:rsidRDefault="00A80BB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80BB7" w:rsidRDefault="00043D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2025 году в автономном округе по итогам состоявшихся аукционов передано в пользование 2 участка недр.</w:t>
      </w:r>
    </w:p>
    <w:p w:rsidR="00A80BB7" w:rsidRDefault="00043D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Суммарные ресурсы нефти по переданным участкам по категории Д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sz w:val="28"/>
          <w:szCs w:val="28"/>
        </w:rPr>
        <w:t>+Д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составляют 10,3 млн тонн, газа – 1,8 млрд 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80BB7" w:rsidRDefault="00043D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Также в 2025 году передано в пользование 8 поисковых участков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с суммарными ресурсами нефти по категории Д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</w:rPr>
        <w:t>+Д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57,7 млн тонн, газа – 7,9 млрд 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80BB7" w:rsidRDefault="00A80B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BB7" w:rsidRDefault="00043D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Геологоразведочные работы на углеводородное сырьё</w:t>
      </w:r>
    </w:p>
    <w:p w:rsidR="00A80BB7" w:rsidRDefault="00A80BB7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</w:p>
    <w:p w:rsidR="00A80BB7" w:rsidRDefault="00043D56">
      <w:pPr>
        <w:pStyle w:val="1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 состоянию на 1 января 2026 года в границах автономного округа учтено на балансе </w:t>
      </w:r>
      <w:r>
        <w:rPr>
          <w:rFonts w:ascii="Times New Roman" w:hAnsi="Times New Roman"/>
          <w:iCs/>
          <w:color w:val="auto"/>
          <w:sz w:val="28"/>
          <w:szCs w:val="28"/>
        </w:rPr>
        <w:t xml:space="preserve">478 </w:t>
      </w:r>
      <w:r>
        <w:rPr>
          <w:rFonts w:ascii="Times New Roman" w:hAnsi="Times New Roman"/>
          <w:iCs/>
          <w:sz w:val="28"/>
          <w:szCs w:val="28"/>
        </w:rPr>
        <w:t>месторождений углеводородного сыр</w:t>
      </w:r>
      <w:r w:rsidR="00041DA1">
        <w:rPr>
          <w:rFonts w:ascii="Times New Roman" w:hAnsi="Times New Roman"/>
          <w:iCs/>
          <w:sz w:val="28"/>
          <w:szCs w:val="28"/>
        </w:rPr>
        <w:t xml:space="preserve">ья, в том числе: 415 нефтяных, </w:t>
      </w:r>
      <w:r>
        <w:rPr>
          <w:rFonts w:ascii="Times New Roman" w:hAnsi="Times New Roman"/>
          <w:iCs/>
          <w:sz w:val="28"/>
          <w:szCs w:val="28"/>
        </w:rPr>
        <w:t xml:space="preserve">23 нефтегазоконденсатных, 18 газовых, 5 газоконденсатных, 17 газонефтяных. В 2025 году открыто 2 месторождения нефти: </w:t>
      </w:r>
      <w:r>
        <w:rPr>
          <w:rFonts w:ascii="Times New Roman" w:hAnsi="Times New Roman"/>
          <w:sz w:val="28"/>
          <w:szCs w:val="28"/>
        </w:rPr>
        <w:t>Восточно-</w:t>
      </w:r>
      <w:proofErr w:type="spellStart"/>
      <w:r>
        <w:rPr>
          <w:rFonts w:ascii="Times New Roman" w:hAnsi="Times New Roman"/>
          <w:sz w:val="28"/>
          <w:szCs w:val="28"/>
        </w:rPr>
        <w:t>Эйеганское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(нефть, геол./</w:t>
      </w:r>
      <w:proofErr w:type="spellStart"/>
      <w:r>
        <w:rPr>
          <w:rFonts w:ascii="Times New Roman" w:hAnsi="Times New Roman"/>
          <w:sz w:val="28"/>
          <w:szCs w:val="28"/>
        </w:rPr>
        <w:t>извл</w:t>
      </w:r>
      <w:proofErr w:type="spellEnd"/>
      <w:r>
        <w:rPr>
          <w:rFonts w:ascii="Times New Roman" w:hAnsi="Times New Roman"/>
          <w:sz w:val="28"/>
          <w:szCs w:val="28"/>
        </w:rPr>
        <w:t>. (</w:t>
      </w:r>
      <w:proofErr w:type="spellStart"/>
      <w:r>
        <w:rPr>
          <w:rFonts w:ascii="Times New Roman" w:hAnsi="Times New Roman"/>
          <w:sz w:val="28"/>
          <w:szCs w:val="28"/>
        </w:rPr>
        <w:t>тыс.т</w:t>
      </w:r>
      <w:proofErr w:type="spellEnd"/>
      <w:r>
        <w:rPr>
          <w:rFonts w:ascii="Times New Roman" w:hAnsi="Times New Roman"/>
          <w:sz w:val="28"/>
          <w:szCs w:val="28"/>
        </w:rPr>
        <w:t>) С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545/223, </w:t>
      </w:r>
      <w:r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2450/1005) и Русловое (нефть, геол./</w:t>
      </w:r>
      <w:proofErr w:type="spellStart"/>
      <w:r>
        <w:rPr>
          <w:rFonts w:ascii="Times New Roman" w:hAnsi="Times New Roman"/>
          <w:sz w:val="28"/>
          <w:szCs w:val="28"/>
        </w:rPr>
        <w:t>извл</w:t>
      </w:r>
      <w:proofErr w:type="spellEnd"/>
      <w:r>
        <w:rPr>
          <w:rFonts w:ascii="Times New Roman" w:hAnsi="Times New Roman"/>
          <w:sz w:val="28"/>
          <w:szCs w:val="28"/>
        </w:rPr>
        <w:t>. (</w:t>
      </w:r>
      <w:proofErr w:type="spellStart"/>
      <w:r>
        <w:rPr>
          <w:rFonts w:ascii="Times New Roman" w:hAnsi="Times New Roman"/>
          <w:sz w:val="28"/>
          <w:szCs w:val="28"/>
        </w:rPr>
        <w:t>тыс.т</w:t>
      </w:r>
      <w:proofErr w:type="spellEnd"/>
      <w:r>
        <w:rPr>
          <w:rFonts w:ascii="Times New Roman" w:hAnsi="Times New Roman"/>
          <w:sz w:val="28"/>
          <w:szCs w:val="28"/>
        </w:rPr>
        <w:t>) С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1330/257, </w:t>
      </w:r>
      <w:r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10702/1907), </w:t>
      </w:r>
      <w:r>
        <w:rPr>
          <w:rFonts w:ascii="Times New Roman" w:hAnsi="Times New Roman"/>
          <w:iCs/>
          <w:sz w:val="28"/>
          <w:szCs w:val="28"/>
        </w:rPr>
        <w:t>а также 2 месторождения вошли в состав уже существующих.</w:t>
      </w:r>
      <w:bookmarkStart w:id="0" w:name="undefined"/>
      <w:bookmarkEnd w:id="0"/>
    </w:p>
    <w:p w:rsidR="00A80BB7" w:rsidRDefault="00043D56">
      <w:pPr>
        <w:spacing w:after="0"/>
        <w:ind w:right="-31"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По итогам 2025 года на территории автономного округа выполнены следующие объёмы геологоразведочных работ:</w:t>
      </w:r>
    </w:p>
    <w:p w:rsidR="00A80BB7" w:rsidRDefault="00043D56">
      <w:pPr>
        <w:spacing w:after="0"/>
        <w:ind w:right="-3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за счёт средств федерального бюджета:</w:t>
      </w:r>
    </w:p>
    <w:p w:rsidR="00A80BB7" w:rsidRDefault="00043D56">
      <w:pPr>
        <w:spacing w:after="0"/>
        <w:ind w:right="-3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 xml:space="preserve">сейсморазведочные работы 2Д в объёме 3 045 погонных км </w:t>
      </w:r>
      <w:r>
        <w:rPr>
          <w:rFonts w:ascii="Times New Roman" w:eastAsia="Times New Roman" w:hAnsi="Times New Roman"/>
          <w:iCs/>
          <w:sz w:val="28"/>
          <w:szCs w:val="28"/>
        </w:rPr>
        <w:br/>
        <w:t xml:space="preserve">на 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Карабашском</w:t>
      </w:r>
      <w:proofErr w:type="spellEnd"/>
      <w:r>
        <w:rPr>
          <w:rFonts w:ascii="Times New Roman" w:eastAsia="Times New Roman" w:hAnsi="Times New Roman"/>
          <w:iCs/>
          <w:sz w:val="28"/>
          <w:szCs w:val="28"/>
        </w:rPr>
        <w:t xml:space="preserve"> 3, 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Карабашском</w:t>
      </w:r>
      <w:proofErr w:type="spellEnd"/>
      <w:r>
        <w:rPr>
          <w:rFonts w:ascii="Times New Roman" w:eastAsia="Times New Roman" w:hAnsi="Times New Roman"/>
          <w:iCs/>
          <w:sz w:val="28"/>
          <w:szCs w:val="28"/>
        </w:rPr>
        <w:t xml:space="preserve"> 4, Южно-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Висимском</w:t>
      </w:r>
      <w:proofErr w:type="spellEnd"/>
      <w:r>
        <w:rPr>
          <w:rFonts w:ascii="Times New Roman" w:eastAsia="Times New Roman" w:hAnsi="Times New Roman"/>
          <w:iCs/>
          <w:sz w:val="28"/>
          <w:szCs w:val="28"/>
        </w:rPr>
        <w:t xml:space="preserve"> и Южно-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Берёзовском</w:t>
      </w:r>
      <w:proofErr w:type="spellEnd"/>
      <w:r>
        <w:rPr>
          <w:rFonts w:ascii="Times New Roman" w:eastAsia="Times New Roman" w:hAnsi="Times New Roman"/>
          <w:iCs/>
          <w:sz w:val="28"/>
          <w:szCs w:val="28"/>
        </w:rPr>
        <w:t xml:space="preserve"> участках недр;</w:t>
      </w:r>
    </w:p>
    <w:p w:rsidR="00A80BB7" w:rsidRDefault="00043D56">
      <w:pPr>
        <w:spacing w:after="0"/>
        <w:ind w:right="-31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lastRenderedPageBreak/>
        <w:t>за счёт средств компаний-</w:t>
      </w:r>
      <w:proofErr w:type="spellStart"/>
      <w:r>
        <w:rPr>
          <w:rFonts w:ascii="Times New Roman" w:eastAsia="Times New Roman" w:hAnsi="Times New Roman"/>
          <w:iCs/>
          <w:color w:val="000000"/>
          <w:sz w:val="28"/>
          <w:szCs w:val="28"/>
        </w:rPr>
        <w:t>недропользователей</w:t>
      </w:r>
      <w:proofErr w:type="spellEnd"/>
      <w:r>
        <w:rPr>
          <w:rFonts w:ascii="Times New Roman" w:eastAsia="Times New Roman" w:hAnsi="Times New Roman"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</w:p>
    <w:p w:rsidR="00A80BB7" w:rsidRDefault="00041DA1">
      <w:pPr>
        <w:spacing w:after="0"/>
        <w:ind w:right="-3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         </w:t>
      </w:r>
      <w:r w:rsidR="00043D56">
        <w:rPr>
          <w:rFonts w:ascii="Times New Roman" w:eastAsia="Times New Roman" w:hAnsi="Times New Roman"/>
          <w:iCs/>
          <w:color w:val="000000"/>
          <w:sz w:val="28"/>
          <w:szCs w:val="28"/>
        </w:rPr>
        <w:t>проходка поисково-разведочным бурением – 301 637 метров;</w:t>
      </w:r>
    </w:p>
    <w:p w:rsidR="00A80BB7" w:rsidRDefault="00041DA1">
      <w:pPr>
        <w:spacing w:after="0"/>
        <w:ind w:right="-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         </w:t>
      </w:r>
      <w:r w:rsidR="00043D56">
        <w:rPr>
          <w:rFonts w:ascii="Times New Roman" w:eastAsia="Times New Roman" w:hAnsi="Times New Roman"/>
          <w:iCs/>
          <w:color w:val="000000"/>
          <w:sz w:val="28"/>
          <w:szCs w:val="28"/>
        </w:rPr>
        <w:t>сейсморазведочные работы 3Д – 1617 км</w:t>
      </w:r>
      <w:r w:rsidR="00043D56">
        <w:rPr>
          <w:rFonts w:ascii="Times New Roman" w:eastAsia="Times New Roman" w:hAnsi="Times New Roman"/>
          <w:iCs/>
          <w:color w:val="000000"/>
          <w:sz w:val="28"/>
          <w:szCs w:val="28"/>
          <w:vertAlign w:val="superscript"/>
        </w:rPr>
        <w:t>2</w:t>
      </w:r>
      <w:r w:rsidR="00043D56">
        <w:rPr>
          <w:rFonts w:ascii="Times New Roman" w:eastAsia="Times New Roman" w:hAnsi="Times New Roman"/>
          <w:iCs/>
          <w:color w:val="000000"/>
          <w:sz w:val="28"/>
          <w:szCs w:val="28"/>
        </w:rPr>
        <w:t>, что на 36,1% больше соответствующего показателя 2024 года (+429 км</w:t>
      </w:r>
      <w:r w:rsidR="00043D56">
        <w:rPr>
          <w:rFonts w:ascii="Times New Roman" w:eastAsia="Times New Roman" w:hAnsi="Times New Roman"/>
          <w:iCs/>
          <w:color w:val="000000"/>
          <w:sz w:val="28"/>
          <w:szCs w:val="28"/>
          <w:vertAlign w:val="superscript"/>
        </w:rPr>
        <w:t>2</w:t>
      </w:r>
      <w:r w:rsidR="00043D56">
        <w:rPr>
          <w:rFonts w:ascii="Times New Roman" w:eastAsia="Times New Roman" w:hAnsi="Times New Roman"/>
          <w:iCs/>
          <w:color w:val="000000"/>
          <w:sz w:val="28"/>
          <w:szCs w:val="28"/>
        </w:rPr>
        <w:t>).</w:t>
      </w:r>
    </w:p>
    <w:p w:rsidR="00A80BB7" w:rsidRDefault="00043D56">
      <w:pPr>
        <w:spacing w:after="0"/>
        <w:ind w:right="-28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t>Объём финансирования геологоразведочных работ за счёт средств компаний-</w:t>
      </w:r>
      <w:proofErr w:type="spellStart"/>
      <w:r>
        <w:rPr>
          <w:rFonts w:ascii="Times New Roman" w:eastAsia="Times New Roman" w:hAnsi="Times New Roman"/>
          <w:iCs/>
          <w:color w:val="000000"/>
          <w:sz w:val="28"/>
          <w:szCs w:val="28"/>
        </w:rPr>
        <w:t>недропользователей</w:t>
      </w:r>
      <w:proofErr w:type="spellEnd"/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и средств федерального бюджета составил                   более 54,7 млрд руб.</w:t>
      </w:r>
    </w:p>
    <w:p w:rsidR="00A80BB7" w:rsidRDefault="00043D56" w:rsidP="007B7C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2025 году на территории автономного округа п</w:t>
      </w:r>
      <w:r>
        <w:rPr>
          <w:rFonts w:ascii="Times New Roman" w:eastAsia="Times New Roman" w:hAnsi="Times New Roman"/>
          <w:sz w:val="28"/>
          <w:szCs w:val="28"/>
        </w:rPr>
        <w:t>рирост извлекаемых запасов по категориям АВ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составил 209,5 млн тонн, в том числе за счет разведки 53 млн тонн. При объёме добычи нефти 202,9 млн тонн воспроизводство минерально-сырьевой базы в 2025 году составило 103%.</w:t>
      </w:r>
    </w:p>
    <w:p w:rsidR="007B7CAF" w:rsidRPr="007B7CAF" w:rsidRDefault="007B7CAF" w:rsidP="007B7C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Предложения для включения в проект повестки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, в рекомендации по итогам заседания круглого стола отсутствуют.  </w:t>
      </w:r>
    </w:p>
    <w:p w:rsidR="007B7CAF" w:rsidRDefault="007B7CAF" w:rsidP="007B7C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7CAF" w:rsidRDefault="007B7CAF" w:rsidP="007B7C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7CAF" w:rsidRDefault="007B7CAF" w:rsidP="007B7C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80BB7" w:rsidRDefault="00A80BB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0BB7" w:rsidRDefault="00A80BB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0BB7" w:rsidRDefault="00A80BB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80BB7">
      <w:headerReference w:type="default" r:id="rId8"/>
      <w:pgSz w:w="11909" w:h="16834"/>
      <w:pgMar w:top="708" w:right="1276" w:bottom="677" w:left="1559" w:header="72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D1F" w:rsidRDefault="00922D1F">
      <w:pPr>
        <w:spacing w:after="0" w:line="240" w:lineRule="auto"/>
      </w:pPr>
      <w:r>
        <w:separator/>
      </w:r>
    </w:p>
  </w:endnote>
  <w:endnote w:type="continuationSeparator" w:id="0">
    <w:p w:rsidR="00922D1F" w:rsidRDefault="0092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D1F" w:rsidRDefault="00922D1F">
      <w:pPr>
        <w:spacing w:after="0" w:line="240" w:lineRule="auto"/>
      </w:pPr>
      <w:r>
        <w:separator/>
      </w:r>
    </w:p>
  </w:footnote>
  <w:footnote w:type="continuationSeparator" w:id="0">
    <w:p w:rsidR="00922D1F" w:rsidRDefault="00922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BB7" w:rsidRDefault="00043D56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7B7CAF">
      <w:rPr>
        <w:noProof/>
      </w:rPr>
      <w:t>3</w:t>
    </w:r>
    <w:r>
      <w:fldChar w:fldCharType="end"/>
    </w:r>
  </w:p>
  <w:p w:rsidR="00A80BB7" w:rsidRDefault="00A80BB7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11481"/>
    <w:multiLevelType w:val="hybridMultilevel"/>
    <w:tmpl w:val="8CC03786"/>
    <w:lvl w:ilvl="0" w:tplc="6E92790C">
      <w:start w:val="1"/>
      <w:numFmt w:val="decimal"/>
      <w:lvlText w:val="%1)"/>
      <w:lvlJc w:val="left"/>
      <w:pPr>
        <w:ind w:left="360" w:hanging="360"/>
      </w:pPr>
    </w:lvl>
    <w:lvl w:ilvl="1" w:tplc="28780B40">
      <w:start w:val="1"/>
      <w:numFmt w:val="lowerLetter"/>
      <w:lvlText w:val="%2)"/>
      <w:lvlJc w:val="left"/>
      <w:pPr>
        <w:ind w:left="720" w:hanging="360"/>
      </w:pPr>
    </w:lvl>
    <w:lvl w:ilvl="2" w:tplc="DE586F42">
      <w:start w:val="1"/>
      <w:numFmt w:val="lowerRoman"/>
      <w:lvlText w:val="%3)"/>
      <w:lvlJc w:val="left"/>
      <w:pPr>
        <w:ind w:left="1080" w:hanging="360"/>
      </w:pPr>
    </w:lvl>
    <w:lvl w:ilvl="3" w:tplc="A9A0096A">
      <w:start w:val="1"/>
      <w:numFmt w:val="decimal"/>
      <w:lvlText w:val="%4)"/>
      <w:lvlJc w:val="left"/>
      <w:pPr>
        <w:ind w:left="1440" w:hanging="360"/>
      </w:pPr>
    </w:lvl>
    <w:lvl w:ilvl="4" w:tplc="86AE5BEE">
      <w:start w:val="1"/>
      <w:numFmt w:val="lowerLetter"/>
      <w:lvlText w:val="%5)"/>
      <w:lvlJc w:val="left"/>
      <w:pPr>
        <w:ind w:left="1800" w:hanging="360"/>
      </w:pPr>
    </w:lvl>
    <w:lvl w:ilvl="5" w:tplc="1924F9BA">
      <w:start w:val="1"/>
      <w:numFmt w:val="lowerRoman"/>
      <w:lvlText w:val="%6)"/>
      <w:lvlJc w:val="left"/>
      <w:pPr>
        <w:ind w:left="2160" w:hanging="360"/>
      </w:pPr>
    </w:lvl>
    <w:lvl w:ilvl="6" w:tplc="0DF4940C">
      <w:start w:val="1"/>
      <w:numFmt w:val="decimal"/>
      <w:lvlText w:val="%7)"/>
      <w:lvlJc w:val="left"/>
      <w:pPr>
        <w:ind w:left="2520" w:hanging="360"/>
      </w:pPr>
    </w:lvl>
    <w:lvl w:ilvl="7" w:tplc="0262AB70">
      <w:start w:val="1"/>
      <w:numFmt w:val="lowerLetter"/>
      <w:lvlText w:val="%8)"/>
      <w:lvlJc w:val="left"/>
      <w:pPr>
        <w:ind w:left="2880" w:hanging="360"/>
      </w:pPr>
    </w:lvl>
    <w:lvl w:ilvl="8" w:tplc="8490266E">
      <w:start w:val="1"/>
      <w:numFmt w:val="lowerRoman"/>
      <w:lvlText w:val="%9)"/>
      <w:lvlJc w:val="left"/>
      <w:pPr>
        <w:ind w:left="3240" w:hanging="360"/>
      </w:pPr>
    </w:lvl>
  </w:abstractNum>
  <w:abstractNum w:abstractNumId="1" w15:restartNumberingAfterBreak="0">
    <w:nsid w:val="28115118"/>
    <w:multiLevelType w:val="hybridMultilevel"/>
    <w:tmpl w:val="73282AFC"/>
    <w:lvl w:ilvl="0" w:tplc="7EE0E150">
      <w:start w:val="1"/>
      <w:numFmt w:val="bullet"/>
      <w:lvlText w:val="–"/>
      <w:lvlJc w:val="left"/>
      <w:pPr>
        <w:ind w:left="1429" w:hanging="360"/>
      </w:pPr>
      <w:rPr>
        <w:rFonts w:ascii="Liberation Sans" w:eastAsia="Liberation Sans" w:hAnsi="Liberation Sans" w:cs="Liberation Sans" w:hint="default"/>
      </w:rPr>
    </w:lvl>
    <w:lvl w:ilvl="1" w:tplc="5C80F8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79D417C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028CEC4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834A3F7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A306A120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C906778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8C18F45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8EC21AE0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B603573"/>
    <w:multiLevelType w:val="hybridMultilevel"/>
    <w:tmpl w:val="5126931A"/>
    <w:lvl w:ilvl="0" w:tplc="E230E63A">
      <w:start w:val="1"/>
      <w:numFmt w:val="decimal"/>
      <w:lvlText w:val="%1."/>
      <w:lvlJc w:val="left"/>
      <w:pPr>
        <w:ind w:left="709" w:hanging="360"/>
      </w:pPr>
    </w:lvl>
    <w:lvl w:ilvl="1" w:tplc="02302664">
      <w:start w:val="1"/>
      <w:numFmt w:val="lowerLetter"/>
      <w:lvlText w:val="%2."/>
      <w:lvlJc w:val="left"/>
      <w:pPr>
        <w:ind w:left="1429" w:hanging="360"/>
      </w:pPr>
    </w:lvl>
    <w:lvl w:ilvl="2" w:tplc="50183D00">
      <w:start w:val="1"/>
      <w:numFmt w:val="lowerRoman"/>
      <w:lvlText w:val="%3."/>
      <w:lvlJc w:val="right"/>
      <w:pPr>
        <w:ind w:left="2149" w:hanging="180"/>
      </w:pPr>
    </w:lvl>
    <w:lvl w:ilvl="3" w:tplc="80D877BE">
      <w:start w:val="1"/>
      <w:numFmt w:val="decimal"/>
      <w:lvlText w:val="%4."/>
      <w:lvlJc w:val="left"/>
      <w:pPr>
        <w:ind w:left="2869" w:hanging="360"/>
      </w:pPr>
    </w:lvl>
    <w:lvl w:ilvl="4" w:tplc="1026E0FC">
      <w:start w:val="1"/>
      <w:numFmt w:val="lowerLetter"/>
      <w:lvlText w:val="%5."/>
      <w:lvlJc w:val="left"/>
      <w:pPr>
        <w:ind w:left="3589" w:hanging="360"/>
      </w:pPr>
    </w:lvl>
    <w:lvl w:ilvl="5" w:tplc="D7CE7C00">
      <w:start w:val="1"/>
      <w:numFmt w:val="lowerRoman"/>
      <w:lvlText w:val="%6."/>
      <w:lvlJc w:val="right"/>
      <w:pPr>
        <w:ind w:left="4309" w:hanging="180"/>
      </w:pPr>
    </w:lvl>
    <w:lvl w:ilvl="6" w:tplc="7458E58C">
      <w:start w:val="1"/>
      <w:numFmt w:val="decimal"/>
      <w:lvlText w:val="%7."/>
      <w:lvlJc w:val="left"/>
      <w:pPr>
        <w:ind w:left="5029" w:hanging="360"/>
      </w:pPr>
    </w:lvl>
    <w:lvl w:ilvl="7" w:tplc="BC6AB326">
      <w:start w:val="1"/>
      <w:numFmt w:val="lowerLetter"/>
      <w:lvlText w:val="%8."/>
      <w:lvlJc w:val="left"/>
      <w:pPr>
        <w:ind w:left="5749" w:hanging="360"/>
      </w:pPr>
    </w:lvl>
    <w:lvl w:ilvl="8" w:tplc="63B48A90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42213B15"/>
    <w:multiLevelType w:val="hybridMultilevel"/>
    <w:tmpl w:val="B4FCB408"/>
    <w:lvl w:ilvl="0" w:tplc="07629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222E04E">
      <w:start w:val="1"/>
      <w:numFmt w:val="lowerLetter"/>
      <w:lvlText w:val="%2."/>
      <w:lvlJc w:val="left"/>
      <w:pPr>
        <w:ind w:left="1800" w:hanging="360"/>
      </w:pPr>
    </w:lvl>
    <w:lvl w:ilvl="2" w:tplc="AF96BAE4">
      <w:start w:val="1"/>
      <w:numFmt w:val="lowerRoman"/>
      <w:lvlText w:val="%3."/>
      <w:lvlJc w:val="right"/>
      <w:pPr>
        <w:ind w:left="2520" w:hanging="180"/>
      </w:pPr>
    </w:lvl>
    <w:lvl w:ilvl="3" w:tplc="404C0D6A">
      <w:start w:val="1"/>
      <w:numFmt w:val="decimal"/>
      <w:lvlText w:val="%4."/>
      <w:lvlJc w:val="left"/>
      <w:pPr>
        <w:ind w:left="3240" w:hanging="360"/>
      </w:pPr>
    </w:lvl>
    <w:lvl w:ilvl="4" w:tplc="E818613C">
      <w:start w:val="1"/>
      <w:numFmt w:val="lowerLetter"/>
      <w:lvlText w:val="%5."/>
      <w:lvlJc w:val="left"/>
      <w:pPr>
        <w:ind w:left="3960" w:hanging="360"/>
      </w:pPr>
    </w:lvl>
    <w:lvl w:ilvl="5" w:tplc="A2B68718">
      <w:start w:val="1"/>
      <w:numFmt w:val="lowerRoman"/>
      <w:lvlText w:val="%6."/>
      <w:lvlJc w:val="right"/>
      <w:pPr>
        <w:ind w:left="4680" w:hanging="180"/>
      </w:pPr>
    </w:lvl>
    <w:lvl w:ilvl="6" w:tplc="3EDE44E0">
      <w:start w:val="1"/>
      <w:numFmt w:val="decimal"/>
      <w:lvlText w:val="%7."/>
      <w:lvlJc w:val="left"/>
      <w:pPr>
        <w:ind w:left="5400" w:hanging="360"/>
      </w:pPr>
    </w:lvl>
    <w:lvl w:ilvl="7" w:tplc="A6325678">
      <w:start w:val="1"/>
      <w:numFmt w:val="lowerLetter"/>
      <w:lvlText w:val="%8."/>
      <w:lvlJc w:val="left"/>
      <w:pPr>
        <w:ind w:left="6120" w:hanging="360"/>
      </w:pPr>
    </w:lvl>
    <w:lvl w:ilvl="8" w:tplc="CDC23BE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114F96"/>
    <w:multiLevelType w:val="hybridMultilevel"/>
    <w:tmpl w:val="0A6E683E"/>
    <w:lvl w:ilvl="0" w:tplc="B2120552">
      <w:start w:val="1"/>
      <w:numFmt w:val="decimal"/>
      <w:lvlText w:val="%1."/>
      <w:lvlJc w:val="left"/>
      <w:pPr>
        <w:ind w:left="709" w:hanging="360"/>
      </w:pPr>
    </w:lvl>
    <w:lvl w:ilvl="1" w:tplc="6F84B3E8">
      <w:start w:val="1"/>
      <w:numFmt w:val="lowerLetter"/>
      <w:lvlText w:val="%2."/>
      <w:lvlJc w:val="left"/>
      <w:pPr>
        <w:ind w:left="1429" w:hanging="360"/>
      </w:pPr>
    </w:lvl>
    <w:lvl w:ilvl="2" w:tplc="69E638E6">
      <w:start w:val="1"/>
      <w:numFmt w:val="lowerRoman"/>
      <w:lvlText w:val="%3."/>
      <w:lvlJc w:val="right"/>
      <w:pPr>
        <w:ind w:left="2149" w:hanging="180"/>
      </w:pPr>
    </w:lvl>
    <w:lvl w:ilvl="3" w:tplc="6184A05E">
      <w:start w:val="1"/>
      <w:numFmt w:val="decimal"/>
      <w:lvlText w:val="%4."/>
      <w:lvlJc w:val="left"/>
      <w:pPr>
        <w:ind w:left="2869" w:hanging="360"/>
      </w:pPr>
    </w:lvl>
    <w:lvl w:ilvl="4" w:tplc="BF281768">
      <w:start w:val="1"/>
      <w:numFmt w:val="lowerLetter"/>
      <w:lvlText w:val="%5."/>
      <w:lvlJc w:val="left"/>
      <w:pPr>
        <w:ind w:left="3589" w:hanging="360"/>
      </w:pPr>
    </w:lvl>
    <w:lvl w:ilvl="5" w:tplc="383CD452">
      <w:start w:val="1"/>
      <w:numFmt w:val="lowerRoman"/>
      <w:lvlText w:val="%6."/>
      <w:lvlJc w:val="right"/>
      <w:pPr>
        <w:ind w:left="4309" w:hanging="180"/>
      </w:pPr>
    </w:lvl>
    <w:lvl w:ilvl="6" w:tplc="D44A9A10">
      <w:start w:val="1"/>
      <w:numFmt w:val="decimal"/>
      <w:lvlText w:val="%7."/>
      <w:lvlJc w:val="left"/>
      <w:pPr>
        <w:ind w:left="5029" w:hanging="360"/>
      </w:pPr>
    </w:lvl>
    <w:lvl w:ilvl="7" w:tplc="DAB4EB96">
      <w:start w:val="1"/>
      <w:numFmt w:val="lowerLetter"/>
      <w:lvlText w:val="%8."/>
      <w:lvlJc w:val="left"/>
      <w:pPr>
        <w:ind w:left="5749" w:hanging="360"/>
      </w:pPr>
    </w:lvl>
    <w:lvl w:ilvl="8" w:tplc="91E2F052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6346400C"/>
    <w:multiLevelType w:val="hybridMultilevel"/>
    <w:tmpl w:val="A3100FC0"/>
    <w:lvl w:ilvl="0" w:tplc="88B03DCC">
      <w:start w:val="1"/>
      <w:numFmt w:val="decimal"/>
      <w:lvlText w:val="%1."/>
      <w:lvlJc w:val="left"/>
      <w:pPr>
        <w:ind w:left="709" w:hanging="360"/>
      </w:pPr>
    </w:lvl>
    <w:lvl w:ilvl="1" w:tplc="1C542C06">
      <w:start w:val="1"/>
      <w:numFmt w:val="lowerLetter"/>
      <w:lvlText w:val="%2."/>
      <w:lvlJc w:val="left"/>
      <w:pPr>
        <w:ind w:left="1429" w:hanging="360"/>
      </w:pPr>
    </w:lvl>
    <w:lvl w:ilvl="2" w:tplc="4D147B26">
      <w:start w:val="1"/>
      <w:numFmt w:val="lowerRoman"/>
      <w:lvlText w:val="%3."/>
      <w:lvlJc w:val="right"/>
      <w:pPr>
        <w:ind w:left="2149" w:hanging="180"/>
      </w:pPr>
    </w:lvl>
    <w:lvl w:ilvl="3" w:tplc="FF2CE8C8">
      <w:start w:val="1"/>
      <w:numFmt w:val="decimal"/>
      <w:lvlText w:val="%4."/>
      <w:lvlJc w:val="left"/>
      <w:pPr>
        <w:ind w:left="2869" w:hanging="360"/>
      </w:pPr>
    </w:lvl>
    <w:lvl w:ilvl="4" w:tplc="D9763066">
      <w:start w:val="1"/>
      <w:numFmt w:val="lowerLetter"/>
      <w:lvlText w:val="%5."/>
      <w:lvlJc w:val="left"/>
      <w:pPr>
        <w:ind w:left="3589" w:hanging="360"/>
      </w:pPr>
    </w:lvl>
    <w:lvl w:ilvl="5" w:tplc="26B6709A">
      <w:start w:val="1"/>
      <w:numFmt w:val="lowerRoman"/>
      <w:lvlText w:val="%6."/>
      <w:lvlJc w:val="right"/>
      <w:pPr>
        <w:ind w:left="4309" w:hanging="180"/>
      </w:pPr>
    </w:lvl>
    <w:lvl w:ilvl="6" w:tplc="55DADDBA">
      <w:start w:val="1"/>
      <w:numFmt w:val="decimal"/>
      <w:lvlText w:val="%7."/>
      <w:lvlJc w:val="left"/>
      <w:pPr>
        <w:ind w:left="5029" w:hanging="360"/>
      </w:pPr>
    </w:lvl>
    <w:lvl w:ilvl="7" w:tplc="D77AFD32">
      <w:start w:val="1"/>
      <w:numFmt w:val="lowerLetter"/>
      <w:lvlText w:val="%8."/>
      <w:lvlJc w:val="left"/>
      <w:pPr>
        <w:ind w:left="5749" w:hanging="360"/>
      </w:pPr>
    </w:lvl>
    <w:lvl w:ilvl="8" w:tplc="27961A24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56767C3"/>
    <w:multiLevelType w:val="hybridMultilevel"/>
    <w:tmpl w:val="DF6CC6BA"/>
    <w:lvl w:ilvl="0" w:tplc="50624548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4CB051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674BA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A4827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3846B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AA425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39A62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03613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0E499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BB7"/>
    <w:rsid w:val="00041DA1"/>
    <w:rsid w:val="00043D56"/>
    <w:rsid w:val="001047A6"/>
    <w:rsid w:val="007B7CAF"/>
    <w:rsid w:val="007D26E5"/>
    <w:rsid w:val="008C3BBB"/>
    <w:rsid w:val="00922D1F"/>
    <w:rsid w:val="00A80BB7"/>
    <w:rsid w:val="00E4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4CBE3-63A8-44F3-A0A8-5F79ABE2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</w:style>
  <w:style w:type="paragraph" w:customStyle="1" w:styleId="ConsPlusTitle">
    <w:name w:val="ConsPlusTitle"/>
    <w:rPr>
      <w:rFonts w:ascii="Times New Roman" w:hAnsi="Times New Roman"/>
      <w:b/>
      <w:bCs/>
      <w:sz w:val="28"/>
      <w:szCs w:val="28"/>
      <w:lang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pPr>
      <w:spacing w:after="0" w:line="240" w:lineRule="auto"/>
      <w:ind w:left="57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4">
    <w:name w:val="Основной текст с отступом 3 Знак"/>
    <w:link w:val="33"/>
    <w:rPr>
      <w:rFonts w:ascii="Times New Roman" w:eastAsia="Times New Roman" w:hAnsi="Times New Roman"/>
      <w:sz w:val="24"/>
    </w:rPr>
  </w:style>
  <w:style w:type="table" w:styleId="afa">
    <w:name w:val="Table Grid"/>
    <w:basedOn w:val="a1"/>
    <w:uiPriority w:val="5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ody Text Indent"/>
    <w:basedOn w:val="a"/>
    <w:link w:val="afc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fc">
    <w:name w:val="Основной текст с отступом Знак"/>
    <w:basedOn w:val="a0"/>
    <w:link w:val="afb"/>
    <w:rPr>
      <w:rFonts w:ascii="Century Gothic" w:eastAsia="Times New Roman" w:hAnsi="Century Gothic"/>
      <w:sz w:val="22"/>
      <w:szCs w:val="22"/>
      <w:lang w:val="en-US" w:eastAsia="en-US"/>
    </w:rPr>
  </w:style>
  <w:style w:type="paragraph" w:styleId="afd">
    <w:name w:val="No Spacing"/>
    <w:uiPriority w:val="1"/>
    <w:qFormat/>
    <w:rPr>
      <w:sz w:val="22"/>
      <w:szCs w:val="22"/>
      <w:lang w:eastAsia="en-US"/>
    </w:rPr>
  </w:style>
  <w:style w:type="paragraph" w:customStyle="1" w:styleId="210">
    <w:name w:val="Основной текст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paragraph" w:customStyle="1" w:styleId="211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8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Обычный (веб)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Verdana" w:eastAsia="Times New Roman" w:hAnsi="Verdan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BB02E-5F87-46CE-8104-B78864D55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Стоян Любовь Никандровна</dc:creator>
  <cp:keywords/>
  <dc:description/>
  <cp:lastModifiedBy>Скосырев Василий Владиславович</cp:lastModifiedBy>
  <cp:revision>5</cp:revision>
  <cp:lastPrinted>2026-04-14T06:33:00Z</cp:lastPrinted>
  <dcterms:created xsi:type="dcterms:W3CDTF">2026-04-14T04:53:00Z</dcterms:created>
  <dcterms:modified xsi:type="dcterms:W3CDTF">2026-04-14T09:10:00Z</dcterms:modified>
</cp:coreProperties>
</file>